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C23E" w14:textId="5C76574F" w:rsidR="00FB1638" w:rsidRPr="00FB1638" w:rsidRDefault="00FB1638" w:rsidP="008F6CE8">
      <w:pPr>
        <w:keepNext/>
        <w:widowControl w:val="0"/>
        <w:spacing w:after="0" w:line="240" w:lineRule="auto"/>
        <w:jc w:val="center"/>
        <w:outlineLvl w:val="0"/>
        <w:rPr>
          <w:rFonts w:ascii="Gellix Medium" w:eastAsia="Times New Roman" w:hAnsi="Gellix Medium" w:cs="Times New Roman"/>
          <w:b/>
          <w:snapToGrid w:val="0"/>
          <w:color w:val="B52D51"/>
          <w:sz w:val="28"/>
          <w:u w:val="single"/>
        </w:rPr>
      </w:pPr>
      <w:r w:rsidRPr="00FB1638">
        <w:rPr>
          <w:rFonts w:ascii="Gellix Medium" w:eastAsia="Times New Roman" w:hAnsi="Gellix Medium" w:cs="Times New Roman"/>
          <w:b/>
          <w:snapToGrid w:val="0"/>
          <w:color w:val="B52D51"/>
          <w:sz w:val="28"/>
          <w:u w:val="single"/>
        </w:rPr>
        <w:t>MODELE DE DELIBERATION FIXANT LES MODALITES DE FONCTIONNEMENT DU CET</w:t>
      </w:r>
    </w:p>
    <w:p w14:paraId="5DC20992" w14:textId="77777777" w:rsidR="00D947E3" w:rsidRPr="00D947E3" w:rsidRDefault="00D947E3" w:rsidP="00D947E3">
      <w:pPr>
        <w:spacing w:after="0" w:line="240" w:lineRule="auto"/>
        <w:jc w:val="both"/>
        <w:rPr>
          <w:rFonts w:ascii="Avenir Next LT Pro" w:eastAsia="Times New Roman" w:hAnsi="Avenir Next LT Pro" w:cs="Times New Roman"/>
        </w:rPr>
      </w:pPr>
    </w:p>
    <w:p w14:paraId="77F6001A" w14:textId="77777777" w:rsidR="00D947E3" w:rsidRPr="00D947E3" w:rsidRDefault="00D947E3" w:rsidP="00D947E3">
      <w:pPr>
        <w:spacing w:after="0" w:line="240" w:lineRule="auto"/>
        <w:jc w:val="both"/>
        <w:rPr>
          <w:rFonts w:ascii="Avenir Next LT Pro" w:eastAsia="Times New Roman" w:hAnsi="Avenir Next LT Pro" w:cs="Times New Roman"/>
        </w:rPr>
      </w:pPr>
    </w:p>
    <w:p w14:paraId="336ECC06"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Avertissement : ce projet constitue une trame générale.</w:t>
      </w:r>
    </w:p>
    <w:p w14:paraId="3C95CF48"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Les services du Centre de Gestion sont à la disposition des collectivités pour adapter le projet selon les nécessités de chaque collectivité.</w:t>
      </w:r>
    </w:p>
    <w:p w14:paraId="5A3DD379"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Ce projet de délibération peut être utilisé (à l’état de projet) pour saisir le Comité Social Territorial.</w:t>
      </w:r>
    </w:p>
    <w:p w14:paraId="10E6AC64"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Après avis du Comité Social Territorial, l’organe délibérant se prononce.</w:t>
      </w:r>
    </w:p>
    <w:p w14:paraId="7C702D39" w14:textId="77777777" w:rsidR="00D947E3" w:rsidRPr="00D947E3" w:rsidRDefault="00D947E3" w:rsidP="00D947E3">
      <w:pPr>
        <w:spacing w:after="0" w:line="240" w:lineRule="auto"/>
        <w:jc w:val="both"/>
        <w:rPr>
          <w:rFonts w:ascii="Avenir Next LT Pro" w:eastAsia="Times New Roman" w:hAnsi="Avenir Next LT Pro" w:cs="Times New Roman"/>
        </w:rPr>
      </w:pPr>
    </w:p>
    <w:p w14:paraId="16747CC5" w14:textId="77777777" w:rsidR="001D7B75" w:rsidRPr="001D7B75" w:rsidRDefault="001D7B75" w:rsidP="001D7B75">
      <w:pPr>
        <w:spacing w:after="0" w:line="240" w:lineRule="auto"/>
        <w:jc w:val="center"/>
        <w:rPr>
          <w:rFonts w:ascii="Avenir Next LT Pro" w:eastAsia="Times New Roman" w:hAnsi="Avenir Next LT Pro" w:cs="Times New Roman"/>
          <w:b/>
          <w:color w:val="203242"/>
          <w:sz w:val="24"/>
        </w:rPr>
      </w:pPr>
      <w:r w:rsidRPr="001D7B75">
        <w:rPr>
          <w:rFonts w:ascii="Avenir Next LT Pro" w:eastAsia="Times New Roman" w:hAnsi="Avenir Next LT Pro" w:cs="Times New Roman"/>
          <w:b/>
          <w:color w:val="203242"/>
          <w:sz w:val="24"/>
        </w:rPr>
        <w:t>Projet de délibération</w:t>
      </w:r>
    </w:p>
    <w:p w14:paraId="0DE34A24" w14:textId="77777777" w:rsidR="001D7B75" w:rsidRPr="001D7B75" w:rsidRDefault="001D7B75" w:rsidP="001D7B75">
      <w:pPr>
        <w:spacing w:after="0" w:line="240" w:lineRule="auto"/>
        <w:jc w:val="center"/>
        <w:rPr>
          <w:rFonts w:ascii="Avenir Next LT Pro" w:eastAsia="Times New Roman" w:hAnsi="Avenir Next LT Pro" w:cs="Times New Roman"/>
          <w:b/>
          <w:color w:val="203242"/>
          <w:sz w:val="24"/>
        </w:rPr>
      </w:pPr>
      <w:r w:rsidRPr="001D7B75">
        <w:rPr>
          <w:rFonts w:ascii="Avenir Next LT Pro" w:eastAsia="Times New Roman" w:hAnsi="Avenir Next LT Pro" w:cs="Times New Roman"/>
          <w:b/>
          <w:color w:val="203242"/>
          <w:sz w:val="24"/>
        </w:rPr>
        <w:t>FIXANT LES RÈGLES D’OUVERTURE, DE FONCTIONNEMENT, DE GESTION, D’UTILISATION ET DE CLÔTURE DU COMPTE ÉPARGNE-TEMPS (CET)</w:t>
      </w:r>
    </w:p>
    <w:p w14:paraId="639FFFD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C280214"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VU le Code Général de la Fonction Publique ; </w:t>
      </w:r>
    </w:p>
    <w:p w14:paraId="75E47A9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VU le décret n° 2004-878 du 26 août 2004 relatif au compte épargne temps dans la fonction publique territoriale ;</w:t>
      </w:r>
    </w:p>
    <w:p w14:paraId="59404EC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VU l’arrêté du 9 janvier 2024 pris pour l'application de l'article 7-1 du décret n° 2004-878 du 26 août 2004 relatif au compte épargne-temps dans la fonction publique territoriale. </w:t>
      </w:r>
    </w:p>
    <w:p w14:paraId="131AB9E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035AA0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 xml:space="preserve">) rappelle que les personnels territoriaux peuvent demander, sous certaines conditions, à bénéficier du report de certains jours de congés dans un compte épargne-temps. </w:t>
      </w:r>
    </w:p>
    <w:p w14:paraId="46D394F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3E06D2C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 réglementation fixe un cadre général mais il appartient à l’assemblée délibérante de se prononcer sur le détail des modalités d'ouverture, de fonctionnement, de gestion, de fermeture du compte épargne-temps (CET), ainsi que les modalités de son utilisation par l'agent conformément à l'article L.621-5 du Code Général de la Fonction Publique et à l’article 10 du décret n°2004-878 du 26 août 2004.</w:t>
      </w:r>
    </w:p>
    <w:p w14:paraId="26D1BAB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6F5F4A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 (</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 xml:space="preserve">) demande à l’assemblée délibérante de fixer les modalités d’application du compte épargne-temps dans la collectivité. </w:t>
      </w:r>
    </w:p>
    <w:p w14:paraId="34B848AC" w14:textId="77777777" w:rsidR="001D7B75" w:rsidRPr="001D7B75" w:rsidRDefault="001D7B75" w:rsidP="001D7B75">
      <w:pPr>
        <w:spacing w:after="0" w:line="240" w:lineRule="auto"/>
        <w:jc w:val="both"/>
        <w:rPr>
          <w:rFonts w:ascii="Avenir Next LT Pro" w:eastAsia="Times New Roman" w:hAnsi="Avenir Next LT Pro" w:cs="Times New Roman"/>
        </w:rPr>
      </w:pPr>
    </w:p>
    <w:p w14:paraId="1CC8AE53" w14:textId="77777777" w:rsidR="001D7B75" w:rsidRPr="001D7B75" w:rsidRDefault="001D7B75" w:rsidP="001D7B75">
      <w:pPr>
        <w:spacing w:after="0" w:line="240" w:lineRule="auto"/>
        <w:jc w:val="both"/>
        <w:rPr>
          <w:rFonts w:ascii="Avenir Next LT Pro" w:eastAsia="Times New Roman" w:hAnsi="Avenir Next LT Pro" w:cs="Times New Roman"/>
          <w:i/>
          <w:color w:val="4F81BD"/>
          <w:u w:val="single"/>
        </w:rPr>
      </w:pPr>
      <w:r w:rsidRPr="001D7B75">
        <w:rPr>
          <w:rFonts w:ascii="Avenir Next LT Pro" w:eastAsia="Times New Roman" w:hAnsi="Avenir Next LT Pro" w:cs="Times New Roman"/>
          <w:i/>
          <w:color w:val="4F81BD"/>
          <w:u w:val="single"/>
        </w:rPr>
        <w:t>Ou le cas échéant pour les collectivités ayant déjà instauré un CET, avant le 1er janvier 2010 :</w:t>
      </w:r>
    </w:p>
    <w:p w14:paraId="59D476B3" w14:textId="77777777" w:rsidR="001D7B75" w:rsidRPr="001D7B75" w:rsidRDefault="001D7B75" w:rsidP="001D7B75">
      <w:pPr>
        <w:spacing w:after="0" w:line="240" w:lineRule="auto"/>
        <w:jc w:val="both"/>
        <w:rPr>
          <w:rFonts w:ascii="Avenir Next LT Pro" w:eastAsia="Times New Roman" w:hAnsi="Avenir Next LT Pro" w:cs="Times New Roman"/>
        </w:rPr>
      </w:pPr>
    </w:p>
    <w:p w14:paraId="46DA94FB"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 xml:space="preserve">demande à l’assemblée délibérante de modifier les modalités d’application du compte épargne- temps dans la collectivité à la suite de la modification de la réglementation. </w:t>
      </w:r>
    </w:p>
    <w:p w14:paraId="4A9246D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8B5526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F27AD50"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LES BÉNÉFICIAIRES DU CET</w:t>
      </w:r>
    </w:p>
    <w:p w14:paraId="003092C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27AD4E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4F81BD"/>
        </w:rPr>
        <w:t xml:space="preserve">Il/Elle </w:t>
      </w:r>
      <w:r w:rsidRPr="001D7B75">
        <w:rPr>
          <w:rFonts w:ascii="Avenir Next LT Pro" w:eastAsia="Times New Roman" w:hAnsi="Avenir Next LT Pro" w:cs="Times New Roman"/>
          <w:color w:val="203242"/>
        </w:rPr>
        <w:t>rappelle que les fonctionnaires titulaires et agents contractuels à temps complet ou à temps non complet qui sont employés de manière continue et qui ont accompli au moins une année de service pourront bénéficier d'un CET.</w:t>
      </w:r>
    </w:p>
    <w:p w14:paraId="1D464CC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CFC52A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Les stagiaires et les agents contractuels de droit privé ne peuvent bénéficier du C.E.T. Il en est de même pour les professeurs et assistants d’enseignement artistique. </w:t>
      </w:r>
    </w:p>
    <w:p w14:paraId="66FA7FEA" w14:textId="77777777" w:rsidR="001D7B75" w:rsidRPr="001D7B75" w:rsidRDefault="001D7B75" w:rsidP="001D7B75">
      <w:pPr>
        <w:spacing w:after="0" w:line="240" w:lineRule="auto"/>
        <w:jc w:val="both"/>
        <w:rPr>
          <w:rFonts w:ascii="Avenir Next LT Pro" w:eastAsia="Times New Roman" w:hAnsi="Avenir Next LT Pro" w:cs="Times New Roman"/>
        </w:rPr>
      </w:pPr>
    </w:p>
    <w:p w14:paraId="330A3243"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bookmarkStart w:id="0" w:name="_Toc263429093"/>
      <w:bookmarkStart w:id="1" w:name="_Toc263665136"/>
      <w:r w:rsidRPr="001D7B75">
        <w:rPr>
          <w:rFonts w:ascii="Avenir Next LT Pro" w:eastAsia="Times New Roman" w:hAnsi="Avenir Next LT Pro" w:cs="Times New Roman"/>
          <w:b/>
          <w:color w:val="203242"/>
        </w:rPr>
        <w:t>L'OUVERTURE DU CET</w:t>
      </w:r>
    </w:p>
    <w:p w14:paraId="293710A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086A81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L'ouverture du CET est de droit pour les agents et elle peut être demandée à tout moment de l'année.</w:t>
      </w:r>
    </w:p>
    <w:p w14:paraId="08EC4B6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C14C93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rPr>
        <w:lastRenderedPageBreak/>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Cette demande se fera par remise du formulaire de demande d'ouverture annexé à la présente délibération, au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w:t>
      </w:r>
    </w:p>
    <w:p w14:paraId="7477276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A307D8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Le…………</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accuse réception de la demande d'ouverture du CET dans un délai de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jours suivants le dépôt de la demande, notamment en cas de refus motivé d'ouvrir le CET.</w:t>
      </w:r>
    </w:p>
    <w:p w14:paraId="514B8FE9" w14:textId="77777777" w:rsidR="001D7B75" w:rsidRPr="001D7B75" w:rsidRDefault="001D7B75" w:rsidP="001D7B75">
      <w:pPr>
        <w:spacing w:after="0" w:line="240" w:lineRule="auto"/>
        <w:ind w:firstLine="709"/>
        <w:jc w:val="both"/>
        <w:rPr>
          <w:rFonts w:ascii="Avenir Next LT Pro" w:eastAsia="Times New Roman" w:hAnsi="Avenir Next LT Pro" w:cs="Times New Roman"/>
          <w:color w:val="203242"/>
        </w:rPr>
      </w:pPr>
    </w:p>
    <w:p w14:paraId="5ADCB383"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L’ALIMENTATION DU CET</w:t>
      </w:r>
      <w:bookmarkEnd w:id="0"/>
      <w:bookmarkEnd w:id="1"/>
    </w:p>
    <w:p w14:paraId="5FDF889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D873D0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est alimenté par :</w:t>
      </w:r>
    </w:p>
    <w:p w14:paraId="683D164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A8C6861"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report de congés annuels, sans que le nombre de jours de congés annuels pris dans l'année puisse être inférieur à 20 (proratisés pour les agents à temps partiel et à temps non complet), ainsi que les jours de fractionnement,</w:t>
      </w:r>
    </w:p>
    <w:p w14:paraId="478D08C3"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report de jours de récupération au titre de l’ARTT,</w:t>
      </w:r>
    </w:p>
    <w:p w14:paraId="0895EB2C"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rPr>
      </w:pPr>
      <w:r w:rsidRPr="001D7B75">
        <w:rPr>
          <w:rFonts w:ascii="Avenir Next LT Pro" w:eastAsia="Times New Roman" w:hAnsi="Avenir Next LT Pro" w:cs="Times New Roman"/>
          <w:i/>
          <w:iCs/>
          <w:color w:val="4F81BD"/>
        </w:rPr>
        <w:t>(Le cas échéant à déterminer)</w:t>
      </w:r>
      <w:r w:rsidRPr="001D7B75">
        <w:rPr>
          <w:rFonts w:ascii="Avenir Next LT Pro" w:eastAsia="Times New Roman" w:hAnsi="Avenir Next LT Pro" w:cs="Times New Roman"/>
          <w:color w:val="203242"/>
        </w:rPr>
        <w:t xml:space="preserve"> Les jours de repos compensateurs (récupération des heures supplémentaires notamment).</w:t>
      </w:r>
    </w:p>
    <w:p w14:paraId="7A6BB1A6" w14:textId="77777777" w:rsidR="001D7B75" w:rsidRPr="001D7B75" w:rsidRDefault="001D7B75" w:rsidP="001D7B75">
      <w:pPr>
        <w:spacing w:after="0" w:line="240" w:lineRule="auto"/>
        <w:jc w:val="both"/>
        <w:rPr>
          <w:rFonts w:ascii="Avenir Next LT Pro" w:eastAsia="Times New Roman" w:hAnsi="Avenir Next LT Pro" w:cs="Times New Roman"/>
        </w:rPr>
      </w:pPr>
    </w:p>
    <w:p w14:paraId="108B362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peut être alime</w:t>
      </w:r>
      <w:bookmarkStart w:id="2" w:name="_Toc263665140"/>
      <w:r w:rsidRPr="001D7B75">
        <w:rPr>
          <w:rFonts w:ascii="Avenir Next LT Pro" w:eastAsia="Times New Roman" w:hAnsi="Avenir Next LT Pro" w:cs="Times New Roman"/>
          <w:color w:val="203242"/>
        </w:rPr>
        <w:t xml:space="preserve">nté dans la limite de 60 jours </w:t>
      </w:r>
      <w:r w:rsidRPr="001D7B75">
        <w:rPr>
          <w:rFonts w:ascii="Avenir Next LT Pro" w:eastAsia="Times New Roman" w:hAnsi="Avenir Next LT Pro" w:cs="Times New Roman"/>
          <w:i/>
          <w:iCs/>
          <w:color w:val="4F81BD"/>
        </w:rPr>
        <w:t>(ou 70 jours en 2024).</w:t>
      </w:r>
    </w:p>
    <w:p w14:paraId="47A837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B59931D"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 xml:space="preserve">LA </w:t>
      </w:r>
      <w:bookmarkEnd w:id="2"/>
      <w:r w:rsidRPr="001D7B75">
        <w:rPr>
          <w:rFonts w:ascii="Avenir Next LT Pro" w:eastAsia="Times New Roman" w:hAnsi="Avenir Next LT Pro" w:cs="Times New Roman"/>
          <w:b/>
          <w:color w:val="203242"/>
        </w:rPr>
        <w:t>PROCÉDURE D’ALIMENTATION DU CET</w:t>
      </w:r>
    </w:p>
    <w:p w14:paraId="566D8A3D" w14:textId="77777777" w:rsidR="001D7B75" w:rsidRPr="001D7B75" w:rsidRDefault="001D7B75" w:rsidP="001D7B75">
      <w:pPr>
        <w:spacing w:after="0" w:line="240" w:lineRule="auto"/>
        <w:jc w:val="both"/>
        <w:rPr>
          <w:rFonts w:ascii="Avenir Next LT Pro" w:eastAsia="Times New Roman" w:hAnsi="Avenir Next LT Pro" w:cs="Times New Roman"/>
        </w:rPr>
      </w:pPr>
    </w:p>
    <w:p w14:paraId="435D23AC" w14:textId="77777777" w:rsidR="001D7B75" w:rsidRPr="001D7B75" w:rsidRDefault="001D7B75" w:rsidP="001D7B75">
      <w:pPr>
        <w:spacing w:after="0" w:line="240" w:lineRule="auto"/>
        <w:jc w:val="both"/>
        <w:rPr>
          <w:rFonts w:ascii="Avenir Next LT Pro" w:eastAsia="Times New Roman" w:hAnsi="Avenir Next LT Pro" w:cs="Times New Roman"/>
        </w:rPr>
      </w:pP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xml:space="preserve"> La demande d’alimentation du CET par l’agent pourra se faire par le biais du formulaire de demande d'alimentation annexé à la présente délibération.</w:t>
      </w:r>
    </w:p>
    <w:p w14:paraId="672E4B55" w14:textId="77777777" w:rsidR="001D7B75" w:rsidRPr="001D7B75" w:rsidRDefault="001D7B75" w:rsidP="001D7B75">
      <w:pPr>
        <w:spacing w:after="0" w:line="240" w:lineRule="auto"/>
        <w:jc w:val="both"/>
        <w:rPr>
          <w:rFonts w:ascii="Avenir Next LT Pro" w:eastAsia="Times New Roman" w:hAnsi="Avenir Next LT Pro" w:cs="Times New Roman"/>
        </w:rPr>
      </w:pPr>
    </w:p>
    <w:p w14:paraId="760CF18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Elle devra être transmise auprès du service gestionnaire du CET avant le ……………………….</w:t>
      </w:r>
    </w:p>
    <w:p w14:paraId="699A358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C04A7D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Cette demande ne sera effectuée qu’une fois par an. Elle doit indiquer la nature et le nombre de jours que l’agent souhaite verser sur son compte.</w:t>
      </w:r>
    </w:p>
    <w:p w14:paraId="39A8434B" w14:textId="77777777" w:rsidR="001D7B75" w:rsidRPr="001D7B75" w:rsidRDefault="001D7B75" w:rsidP="001D7B75">
      <w:pPr>
        <w:tabs>
          <w:tab w:val="left" w:pos="1680"/>
        </w:tabs>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072A59B5"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bookmarkStart w:id="3" w:name="_Toc263429097"/>
      <w:bookmarkStart w:id="4" w:name="_Toc263665141"/>
      <w:r w:rsidRPr="001D7B75">
        <w:rPr>
          <w:rFonts w:ascii="Avenir Next LT Pro" w:eastAsia="Times New Roman" w:hAnsi="Avenir Next LT Pro" w:cs="Times New Roman"/>
          <w:b/>
          <w:color w:val="203242"/>
        </w:rPr>
        <w:t>L’UTILISATION DU CET</w:t>
      </w:r>
      <w:bookmarkEnd w:id="3"/>
      <w:bookmarkEnd w:id="4"/>
    </w:p>
    <w:p w14:paraId="7EC036D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F04B7E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peut être utilisé sans limitation de durée.</w:t>
      </w:r>
    </w:p>
    <w:p w14:paraId="630F5AF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F21142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service gestionnaire du CET informera l’agent chaque année de la situation de son CET avant le ……………………… (</w:t>
      </w:r>
      <w:r w:rsidRPr="001D7B75">
        <w:rPr>
          <w:rFonts w:ascii="Avenir Next LT Pro" w:eastAsia="Times New Roman" w:hAnsi="Avenir Next LT Pro" w:cs="Times New Roman"/>
          <w:color w:val="4F81BD"/>
        </w:rPr>
        <w:t>date à déterminer</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en utilisant le formulaire annexé à la présente délibération.</w:t>
      </w:r>
    </w:p>
    <w:p w14:paraId="130F5AB7" w14:textId="77777777" w:rsidR="001D7B75" w:rsidRPr="001D7B75" w:rsidRDefault="001D7B75" w:rsidP="001D7B75">
      <w:pPr>
        <w:spacing w:after="0" w:line="240" w:lineRule="auto"/>
        <w:jc w:val="both"/>
        <w:rPr>
          <w:rFonts w:ascii="Avenir Next LT Pro" w:eastAsia="Times New Roman" w:hAnsi="Avenir Next LT Pro" w:cs="Times New Roman"/>
        </w:rPr>
      </w:pPr>
    </w:p>
    <w:p w14:paraId="4F17CE95" w14:textId="77777777" w:rsidR="001D7B75" w:rsidRPr="001D7B75" w:rsidRDefault="001D7B75" w:rsidP="001D7B75">
      <w:pPr>
        <w:spacing w:after="0" w:line="240" w:lineRule="auto"/>
        <w:jc w:val="both"/>
        <w:rPr>
          <w:rFonts w:ascii="Avenir Next LT Pro" w:eastAsia="Times New Roman" w:hAnsi="Avenir Next LT Pro" w:cs="Times New Roman"/>
        </w:rPr>
      </w:pPr>
    </w:p>
    <w:p w14:paraId="5F5D1B7E" w14:textId="77777777" w:rsidR="001D7B75" w:rsidRPr="001D7B75" w:rsidRDefault="001D7B75" w:rsidP="001D7B75">
      <w:pPr>
        <w:numPr>
          <w:ilvl w:val="0"/>
          <w:numId w:val="4"/>
        </w:numPr>
        <w:spacing w:after="0" w:line="240" w:lineRule="auto"/>
        <w:jc w:val="both"/>
        <w:rPr>
          <w:rFonts w:ascii="Avenir Next LT Pro" w:eastAsia="Times New Roman" w:hAnsi="Avenir Next LT Pro" w:cs="Times New Roman"/>
          <w:bCs/>
          <w:color w:val="548DD4"/>
          <w:u w:val="single"/>
        </w:rPr>
      </w:pPr>
      <w:r w:rsidRPr="001D7B75">
        <w:rPr>
          <w:rFonts w:ascii="Avenir Next LT Pro" w:eastAsia="Times New Roman" w:hAnsi="Avenir Next LT Pro" w:cs="Times New Roman"/>
          <w:bCs/>
          <w:color w:val="548DD4"/>
          <w:u w:val="single"/>
        </w:rPr>
        <w:t>Dans le cas où la collectivité n’instaure pas la monétisation du CET</w:t>
      </w:r>
      <w:r w:rsidRPr="001D7B75">
        <w:rPr>
          <w:rFonts w:ascii="Avenir Next LT Pro" w:eastAsia="Times New Roman" w:hAnsi="Avenir Next LT Pro" w:cs="Times New Roman"/>
          <w:bCs/>
          <w:color w:val="548DD4"/>
        </w:rPr>
        <w:t xml:space="preserve"> :</w:t>
      </w:r>
    </w:p>
    <w:p w14:paraId="11F4AA29" w14:textId="77777777" w:rsidR="001D7B75" w:rsidRPr="001D7B75" w:rsidRDefault="001D7B75" w:rsidP="001D7B75">
      <w:pPr>
        <w:spacing w:after="0" w:line="240" w:lineRule="auto"/>
        <w:jc w:val="both"/>
        <w:rPr>
          <w:rFonts w:ascii="Avenir Next LT Pro" w:eastAsia="Times New Roman" w:hAnsi="Avenir Next LT Pro" w:cs="Times New Roman"/>
        </w:rPr>
      </w:pPr>
    </w:p>
    <w:p w14:paraId="7230A44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L’agent peut utiliser tout ou partie de ses jours épargnés dans le CET, qu’il soit fonctionnaire titulaire ou contractuel, uniquement sous la forme de congés.</w:t>
      </w:r>
    </w:p>
    <w:p w14:paraId="4F1A6F1D" w14:textId="77777777" w:rsidR="001D7B75" w:rsidRPr="001D7B75" w:rsidRDefault="001D7B75" w:rsidP="001D7B75">
      <w:pPr>
        <w:spacing w:after="0" w:line="240" w:lineRule="auto"/>
        <w:jc w:val="both"/>
        <w:rPr>
          <w:rFonts w:ascii="Avenir Next LT Pro" w:eastAsia="Times New Roman" w:hAnsi="Avenir Next LT Pro" w:cs="Times New Roman"/>
        </w:rPr>
      </w:pPr>
    </w:p>
    <w:p w14:paraId="44257E2E" w14:textId="77777777" w:rsidR="001D7B75" w:rsidRPr="001D7B75" w:rsidRDefault="001D7B75" w:rsidP="001D7B75">
      <w:pPr>
        <w:numPr>
          <w:ilvl w:val="0"/>
          <w:numId w:val="4"/>
        </w:numPr>
        <w:spacing w:after="0" w:line="240" w:lineRule="auto"/>
        <w:jc w:val="both"/>
        <w:rPr>
          <w:rFonts w:ascii="Avenir Next LT Pro" w:eastAsia="Times New Roman" w:hAnsi="Avenir Next LT Pro" w:cs="Times New Roman"/>
          <w:bCs/>
          <w:color w:val="548DD4"/>
          <w:u w:val="single"/>
        </w:rPr>
      </w:pPr>
      <w:r w:rsidRPr="001D7B75">
        <w:rPr>
          <w:rFonts w:ascii="Avenir Next LT Pro" w:eastAsia="Times New Roman" w:hAnsi="Avenir Next LT Pro" w:cs="Times New Roman"/>
          <w:bCs/>
          <w:color w:val="548DD4"/>
          <w:u w:val="single"/>
        </w:rPr>
        <w:t>Dans le cas où la collectivité instaure la monétisation du CET</w:t>
      </w:r>
      <w:r w:rsidRPr="001D7B75">
        <w:rPr>
          <w:rFonts w:ascii="Avenir Next LT Pro" w:eastAsia="Times New Roman" w:hAnsi="Avenir Next LT Pro" w:cs="Times New Roman"/>
          <w:bCs/>
          <w:color w:val="548DD4"/>
        </w:rPr>
        <w:t xml:space="preserve"> :</w:t>
      </w:r>
    </w:p>
    <w:p w14:paraId="6D6691F6" w14:textId="77777777" w:rsidR="001D7B75" w:rsidRPr="001D7B75" w:rsidRDefault="001D7B75" w:rsidP="001D7B75">
      <w:pPr>
        <w:spacing w:after="0" w:line="240" w:lineRule="auto"/>
        <w:jc w:val="both"/>
        <w:rPr>
          <w:rFonts w:ascii="Avenir Next LT Pro" w:eastAsia="Times New Roman" w:hAnsi="Avenir Next LT Pro" w:cs="Times New Roman"/>
        </w:rPr>
      </w:pPr>
    </w:p>
    <w:p w14:paraId="12FA6FC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Les 15 premiers jours épargnés ne pourront être utilisés que sous forme de congés.</w:t>
      </w:r>
    </w:p>
    <w:p w14:paraId="2C9DC31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B51EE8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Au-delà de 15 jours épargnés, l’agent peut utiliser les jours excédentaires en combinant notamment plusieurs options dans les proportions qu’il souhaite parmi les options suivantes :</w:t>
      </w:r>
    </w:p>
    <w:p w14:paraId="513841C0"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prise en compte au sein du régime de retraite additionnelle de la fonction publique (RAFP) (uniquement pour les fonctionnaires titulaires affiliés à la CNRACL) ;</w:t>
      </w:r>
    </w:p>
    <w:p w14:paraId="763F4FFE"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indemnisation ;</w:t>
      </w:r>
    </w:p>
    <w:p w14:paraId="75ECBD07"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maintien sur le CET ;</w:t>
      </w:r>
    </w:p>
    <w:p w14:paraId="161CBC31"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utilisation sous forme de congés.</w:t>
      </w:r>
    </w:p>
    <w:p w14:paraId="676C670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4B8B54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En cas d'indemnisation, cette dernière se fera par le versement d'une indemnité compensatrice selon des taux fixés par arrêté ministériel et variables selon la catégorie hiérarchique à laquelle appartient l'agent.</w:t>
      </w:r>
    </w:p>
    <w:p w14:paraId="7D105BA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799329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montant brut journalier de l'indemnité s'établit ainsi à ce jour :</w:t>
      </w:r>
    </w:p>
    <w:p w14:paraId="4B35CC4D"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A : 150 € bruts</w:t>
      </w:r>
    </w:p>
    <w:p w14:paraId="69EB87E7"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B : 100 € bruts</w:t>
      </w:r>
    </w:p>
    <w:p w14:paraId="0BC99245"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C : 83 € bruts</w:t>
      </w:r>
    </w:p>
    <w:p w14:paraId="4EFD2361" w14:textId="77777777" w:rsidR="001D7B75" w:rsidRPr="001D7B75" w:rsidRDefault="001D7B75" w:rsidP="001D7B75">
      <w:pPr>
        <w:tabs>
          <w:tab w:val="left" w:leader="dot" w:pos="2835"/>
          <w:tab w:val="left" w:leader="dot" w:pos="6660"/>
        </w:tabs>
        <w:spacing w:after="0" w:line="240" w:lineRule="auto"/>
        <w:ind w:left="720"/>
        <w:contextualSpacing/>
        <w:jc w:val="both"/>
        <w:rPr>
          <w:rFonts w:ascii="Avenir Next LT Pro" w:eastAsia="Arial Unicode MS" w:hAnsi="Avenir Next LT Pro" w:cs="Times New Roman"/>
          <w:i/>
          <w:iCs/>
          <w:color w:val="4F81BD"/>
          <w:lang w:eastAsia="fr-FR"/>
        </w:rPr>
      </w:pPr>
    </w:p>
    <w:p w14:paraId="6043108F" w14:textId="77777777" w:rsidR="001D7B75" w:rsidRPr="001D7B75" w:rsidRDefault="001D7B75" w:rsidP="001D7B75">
      <w:pPr>
        <w:spacing w:after="0" w:line="240" w:lineRule="auto"/>
        <w:jc w:val="both"/>
        <w:rPr>
          <w:rFonts w:ascii="Avenir Next LT Pro" w:eastAsia="Times New Roman" w:hAnsi="Avenir Next LT Pro" w:cs="Times New Roman"/>
        </w:rPr>
      </w:pPr>
    </w:p>
    <w:p w14:paraId="07DF335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L’agent doit faire part de son choix au service gestionnaire du CET avant le……………………… </w:t>
      </w:r>
      <w:r w:rsidRPr="001D7B75">
        <w:rPr>
          <w:rFonts w:ascii="Avenir Next LT Pro" w:eastAsia="Times New Roman" w:hAnsi="Avenir Next LT Pro" w:cs="Times New Roman"/>
          <w:i/>
          <w:iCs/>
          <w:color w:val="548DD4"/>
        </w:rPr>
        <w:t>(date à déterminer, au plus tard le 31 janvier de l’année suivante) (le cas échéant)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 xml:space="preserve">en remettant le formulaire de demande d'option annexé à la présente délibération. </w:t>
      </w:r>
    </w:p>
    <w:p w14:paraId="18C2427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F7C943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 défaut de droit d'option exercé au 31 janvier de l'année suivante :</w:t>
      </w:r>
    </w:p>
    <w:p w14:paraId="194FCD2B" w14:textId="77777777" w:rsidR="001D7B75" w:rsidRPr="001D7B75" w:rsidRDefault="001D7B75" w:rsidP="001D7B75">
      <w:pPr>
        <w:numPr>
          <w:ilvl w:val="0"/>
          <w:numId w:val="6"/>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pour</w:t>
      </w:r>
      <w:proofErr w:type="gramEnd"/>
      <w:r w:rsidRPr="001D7B75">
        <w:rPr>
          <w:rFonts w:ascii="Avenir Next LT Pro" w:eastAsia="Times New Roman" w:hAnsi="Avenir Next LT Pro" w:cs="Times New Roman"/>
          <w:color w:val="203242"/>
        </w:rPr>
        <w:t xml:space="preserve"> les fonctionnaires titulaires affiliés à la CNRACL, les jours excédant 15 jours sont automatiquement pris en compte au sein du RAFP ;</w:t>
      </w:r>
    </w:p>
    <w:p w14:paraId="257E9867" w14:textId="77777777" w:rsidR="001D7B75" w:rsidRPr="001D7B75" w:rsidRDefault="001D7B75" w:rsidP="001D7B75">
      <w:pPr>
        <w:numPr>
          <w:ilvl w:val="0"/>
          <w:numId w:val="6"/>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pour</w:t>
      </w:r>
      <w:proofErr w:type="gramEnd"/>
      <w:r w:rsidRPr="001D7B75">
        <w:rPr>
          <w:rFonts w:ascii="Avenir Next LT Pro" w:eastAsia="Times New Roman" w:hAnsi="Avenir Next LT Pro" w:cs="Times New Roman"/>
          <w:color w:val="203242"/>
        </w:rPr>
        <w:t xml:space="preserve"> les autres agents (agents contractuels et pour les agents affiliés au régime général IRCANTEC), les jours excédant 15 jours sont automatiquement indemnisés.</w:t>
      </w:r>
    </w:p>
    <w:p w14:paraId="04A98096" w14:textId="77777777" w:rsidR="001D7B75" w:rsidRPr="001D7B75" w:rsidRDefault="001D7B75" w:rsidP="001D7B75">
      <w:pPr>
        <w:spacing w:after="0" w:line="240" w:lineRule="auto"/>
        <w:jc w:val="both"/>
        <w:rPr>
          <w:rFonts w:ascii="Avenir Next LT Pro" w:eastAsia="Times New Roman" w:hAnsi="Avenir Next LT Pro" w:cs="Times New Roman"/>
        </w:rPr>
      </w:pPr>
    </w:p>
    <w:p w14:paraId="75B6B3CF" w14:textId="77777777" w:rsidR="001D7B75" w:rsidRPr="001D7B75" w:rsidRDefault="001D7B75" w:rsidP="001D7B75">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Times New Roman" w:hAnsi="Avenir Next LT Pro" w:cs="Times New Roman"/>
          <w:i/>
          <w:color w:val="B52D51"/>
        </w:rPr>
      </w:pPr>
      <w:r w:rsidRPr="001D7B75">
        <w:rPr>
          <w:rFonts w:ascii="Avenir Next LT Pro" w:eastAsia="Times New Roman" w:hAnsi="Avenir Next LT Pro" w:cs="Times New Roman"/>
          <w:i/>
          <w:color w:val="B52D51"/>
        </w:rPr>
        <w:sym w:font="Wingdings" w:char="F025"/>
      </w:r>
      <w:r w:rsidRPr="001D7B75">
        <w:rPr>
          <w:rFonts w:ascii="Avenir Next LT Pro" w:eastAsia="Times New Roman" w:hAnsi="Avenir Next LT Pro" w:cs="Times New Roman"/>
          <w:i/>
          <w:color w:val="B52D51"/>
        </w:rPr>
        <w:t xml:space="preserve"> 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7D1D0AAD" w14:textId="77777777" w:rsidR="001D7B75" w:rsidRPr="001D7B75" w:rsidRDefault="001D7B75" w:rsidP="001D7B75">
      <w:pPr>
        <w:spacing w:after="0" w:line="240" w:lineRule="auto"/>
        <w:jc w:val="both"/>
        <w:rPr>
          <w:rFonts w:ascii="Avenir Next LT Pro" w:eastAsia="Times New Roman" w:hAnsi="Avenir Next LT Pro" w:cs="Times New Roman"/>
        </w:rPr>
      </w:pPr>
    </w:p>
    <w:p w14:paraId="5E2F801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L’agent souhaitant utiliser des jours épargnés dans son CET sous forme de congés devra le demander selon les règles applicables aux congés annuels dans la collectivité.</w:t>
      </w:r>
    </w:p>
    <w:p w14:paraId="5F50D155" w14:textId="77777777" w:rsidR="001D7B75" w:rsidRPr="001D7B75" w:rsidRDefault="001D7B75" w:rsidP="001D7B75">
      <w:pPr>
        <w:spacing w:after="0" w:line="240" w:lineRule="auto"/>
        <w:jc w:val="both"/>
        <w:rPr>
          <w:rFonts w:ascii="Avenir Next LT Pro" w:eastAsia="Times New Roman" w:hAnsi="Avenir Next LT Pro" w:cs="Times New Roman"/>
        </w:rPr>
      </w:pPr>
    </w:p>
    <w:p w14:paraId="3A7B9CD2" w14:textId="77777777" w:rsidR="001D7B75" w:rsidRPr="001D7B75" w:rsidRDefault="001D7B75" w:rsidP="001D7B75">
      <w:pPr>
        <w:spacing w:after="0" w:line="240" w:lineRule="auto"/>
        <w:jc w:val="both"/>
        <w:rPr>
          <w:rFonts w:ascii="Avenir Next LT Pro" w:eastAsia="Times New Roman" w:hAnsi="Avenir Next LT Pro" w:cs="Times New Roman"/>
        </w:rPr>
      </w:pPr>
    </w:p>
    <w:p w14:paraId="333BF031"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 si la collectivité le souhaite</w:t>
      </w:r>
      <w:r w:rsidRPr="001D7B75">
        <w:rPr>
          <w:rFonts w:ascii="Avenir Next LT Pro" w:eastAsia="Times New Roman" w:hAnsi="Avenir Next LT Pro" w:cs="Times New Roman"/>
        </w:rPr>
        <w:t>) </w:t>
      </w:r>
      <w:r w:rsidRPr="001D7B75">
        <w:rPr>
          <w:rFonts w:ascii="Avenir Next LT Pro" w:eastAsia="Times New Roman" w:hAnsi="Avenir Next LT Pro" w:cs="Times New Roman"/>
          <w:b/>
          <w:color w:val="203242"/>
        </w:rPr>
        <w:t>LE CONVENTIONNEMENT ENTRE COLLECTIVITÉS ET ÉTABLISSEMENTS</w:t>
      </w:r>
    </w:p>
    <w:p w14:paraId="1D7A61B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B03821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En cas de mutation et de détachement auprès d'une collectivité territoriale ou d’un établissement public relevant du Code Général de la Fonction Publique, l’autorité territoriale est autorisée à fixer, par convention signée entre les deux employeurs, les modalités financières de transfert des droits accumulés par un agent dans la limite de ……………………… </w:t>
      </w:r>
      <w:r w:rsidRPr="001D7B75">
        <w:rPr>
          <w:rFonts w:ascii="Avenir Next LT Pro" w:eastAsia="Times New Roman" w:hAnsi="Avenir Next LT Pro" w:cs="Times New Roman"/>
          <w:i/>
          <w:iCs/>
          <w:color w:val="548DD4"/>
        </w:rPr>
        <w:t>(à fixer).</w:t>
      </w:r>
    </w:p>
    <w:p w14:paraId="50A3B48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351942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contenu de la convention sera librement déterminé par les deux parties. Avant d'être signée, elle fera l'objet d'une information auprès de l’assemblée délibérante.</w:t>
      </w:r>
    </w:p>
    <w:p w14:paraId="5BAD98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DC7E086"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LA CLÔTURE DU CET</w:t>
      </w:r>
    </w:p>
    <w:p w14:paraId="67FD31D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76D2784"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Le </w:t>
      </w:r>
      <w:proofErr w:type="gramStart"/>
      <w:r w:rsidRPr="001D7B75">
        <w:rPr>
          <w:rFonts w:ascii="Avenir Next LT Pro" w:eastAsia="Times New Roman" w:hAnsi="Avenir Next LT Pro" w:cs="Times New Roman"/>
          <w:color w:val="203242"/>
        </w:rPr>
        <w:t>CET</w:t>
      </w:r>
      <w:proofErr w:type="gramEnd"/>
      <w:r w:rsidRPr="001D7B75">
        <w:rPr>
          <w:rFonts w:ascii="Avenir Next LT Pro" w:eastAsia="Times New Roman" w:hAnsi="Avenir Next LT Pro" w:cs="Times New Roman"/>
          <w:color w:val="203242"/>
        </w:rPr>
        <w:t xml:space="preserve"> doit être soldé et clôturé à la date de la radiation des cadres ou des effectifs pour le fonctionnaire ou à la date de la radiation des effectifs pour l’agent contractuel.</w:t>
      </w:r>
    </w:p>
    <w:p w14:paraId="3191F8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7EAAEB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Lorsque ces dates sont prévisibles, 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color w:val="203242"/>
        </w:rPr>
        <w:t>) informera l’agent de la situation de son CET, de la date de clôture de son CET et de son droit à utiliser les congés accumulés à la date de la clôture dans des délais qui lui permettent d’exercer ce droit, (le cas échéant) à l'aide du formulaire annexé à la présente délibération.</w:t>
      </w:r>
    </w:p>
    <w:p w14:paraId="113C75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77C0CB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D01E87B"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L’assemblée délibérante après avoir entendu le………</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proofErr w:type="gramStart"/>
      <w:r w:rsidRPr="001D7B75">
        <w:rPr>
          <w:rFonts w:ascii="Avenir Next LT Pro" w:eastAsia="Times New Roman" w:hAnsi="Avenir Next LT Pro" w:cs="Times New Roman"/>
          <w:color w:val="4F81BD"/>
        </w:rPr>
        <w:t>autorité</w:t>
      </w:r>
      <w:proofErr w:type="gramEnd"/>
      <w:r w:rsidRPr="001D7B75">
        <w:rPr>
          <w:rFonts w:ascii="Avenir Next LT Pro" w:eastAsia="Times New Roman" w:hAnsi="Avenir Next LT Pro" w:cs="Times New Roman"/>
          <w:color w:val="4F81BD"/>
        </w:rPr>
        <w:t xml:space="preserve"> territoriale</w:t>
      </w:r>
      <w:r w:rsidRPr="001D7B75">
        <w:rPr>
          <w:rFonts w:ascii="Avenir Next LT Pro" w:eastAsia="Times New Roman" w:hAnsi="Avenir Next LT Pro" w:cs="Times New Roman"/>
          <w:color w:val="203242"/>
        </w:rPr>
        <w:t>) dans ses explications complémentaires, après avis du Comité Social Territorial émis dans sa séance du………..et après en avoir délibéré,</w:t>
      </w:r>
    </w:p>
    <w:p w14:paraId="5D40A28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3A71751"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lastRenderedPageBreak/>
        <w:t>ADOPTE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les propositions du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color w:val="203242"/>
        </w:rPr>
        <w:t>) relatives à l'ouverture, au fonctionnement, à la gestion, à la fermeture du compte épargne-temps (CET), ainsi que les modalités de son utilisation par l'agent mentionnés dans la présente délibération,</w:t>
      </w:r>
    </w:p>
    <w:p w14:paraId="0C3639D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1755EEE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les différents formulaires annexés,</w:t>
      </w:r>
    </w:p>
    <w:p w14:paraId="56BA1EA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D36E29B"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t>AUTORISE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sous réserve d'une information préalable de l’assemblée délibérante, 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à signer toutes conventions de transfert du </w:t>
      </w:r>
      <w:proofErr w:type="gramStart"/>
      <w:r w:rsidRPr="001D7B75">
        <w:rPr>
          <w:rFonts w:ascii="Avenir Next LT Pro" w:eastAsia="Times New Roman" w:hAnsi="Avenir Next LT Pro" w:cs="Times New Roman"/>
          <w:color w:val="203242"/>
        </w:rPr>
        <w:t>CET</w:t>
      </w:r>
      <w:proofErr w:type="gramEnd"/>
      <w:r w:rsidRPr="001D7B75">
        <w:rPr>
          <w:rFonts w:ascii="Avenir Next LT Pro" w:eastAsia="Times New Roman" w:hAnsi="Avenir Next LT Pro" w:cs="Times New Roman"/>
          <w:color w:val="203242"/>
        </w:rPr>
        <w:t xml:space="preserve"> figurant en annexe, sous réserve des modifications apportées par les parties adhérentes à cette convention.</w:t>
      </w:r>
    </w:p>
    <w:p w14:paraId="7DA02A66"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p>
    <w:p w14:paraId="04877FF2"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t>PRÉCISE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xml:space="preserve">- que les dispositions de la présente délibération prendront effet au ……….                 </w:t>
      </w:r>
      <w:r w:rsidRPr="001D7B75">
        <w:rPr>
          <w:rFonts w:ascii="Avenir Next LT Pro" w:eastAsia="Times New Roman" w:hAnsi="Avenir Next LT Pro" w:cs="Times New Roman"/>
        </w:rPr>
        <w:t>(</w:t>
      </w:r>
      <w:proofErr w:type="gramStart"/>
      <w:r w:rsidRPr="001D7B75">
        <w:rPr>
          <w:rFonts w:ascii="Avenir Next LT Pro" w:eastAsia="Times New Roman" w:hAnsi="Avenir Next LT Pro" w:cs="Times New Roman"/>
          <w:color w:val="4F81BD"/>
        </w:rPr>
        <w:t>au</w:t>
      </w:r>
      <w:proofErr w:type="gramEnd"/>
      <w:r w:rsidRPr="001D7B75">
        <w:rPr>
          <w:rFonts w:ascii="Avenir Next LT Pro" w:eastAsia="Times New Roman" w:hAnsi="Avenir Next LT Pro" w:cs="Times New Roman"/>
          <w:color w:val="4F81BD"/>
        </w:rPr>
        <w:t xml:space="preserve"> plus tôt la date de transmission au contrôle de légalité</w:t>
      </w:r>
      <w:r w:rsidRPr="001D7B75">
        <w:rPr>
          <w:rFonts w:ascii="Avenir Next LT Pro" w:eastAsia="Times New Roman" w:hAnsi="Avenir Next LT Pro" w:cs="Times New Roman"/>
          <w:color w:val="203242"/>
        </w:rPr>
        <w:t>),</w:t>
      </w:r>
    </w:p>
    <w:p w14:paraId="5D4428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AC6283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que les crédits suffisants sont prévus au budget de l’exercice.</w:t>
      </w:r>
    </w:p>
    <w:p w14:paraId="33CE652E" w14:textId="77777777" w:rsidR="0083728A" w:rsidRPr="00B56D6E" w:rsidRDefault="0083728A" w:rsidP="001D7B75">
      <w:pPr>
        <w:spacing w:after="0" w:line="240" w:lineRule="auto"/>
        <w:jc w:val="center"/>
        <w:rPr>
          <w:rFonts w:ascii="Arial" w:hAnsi="Arial" w:cs="Arial"/>
        </w:rPr>
      </w:pPr>
    </w:p>
    <w:sectPr w:rsidR="0083728A" w:rsidRPr="00B56D6E" w:rsidSect="00D947E3">
      <w:pgSz w:w="11906" w:h="16838"/>
      <w:pgMar w:top="851" w:right="1134"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llix Medium">
    <w:altName w:val="Calibri"/>
    <w:charset w:val="00"/>
    <w:family w:val="auto"/>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299"/>
    <w:multiLevelType w:val="hybridMultilevel"/>
    <w:tmpl w:val="0A105AC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207F6338"/>
    <w:multiLevelType w:val="hybridMultilevel"/>
    <w:tmpl w:val="7352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2837B8"/>
    <w:multiLevelType w:val="hybridMultilevel"/>
    <w:tmpl w:val="A5309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F40FC6"/>
    <w:multiLevelType w:val="hybridMultilevel"/>
    <w:tmpl w:val="A7B449C0"/>
    <w:lvl w:ilvl="0" w:tplc="4252CB98">
      <w:start w:val="2"/>
      <w:numFmt w:val="bullet"/>
      <w:lvlText w:val="-"/>
      <w:lvlJc w:val="left"/>
      <w:pPr>
        <w:ind w:left="1429" w:hanging="360"/>
      </w:pPr>
      <w:rPr>
        <w:rFonts w:ascii="Avenir Next LT Pro" w:eastAsia="Times New Roman" w:hAnsi="Avenir Next LT Pro"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A2216CE"/>
    <w:multiLevelType w:val="hybridMultilevel"/>
    <w:tmpl w:val="31141416"/>
    <w:lvl w:ilvl="0" w:tplc="3D5EB0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81DBF"/>
    <w:multiLevelType w:val="hybridMultilevel"/>
    <w:tmpl w:val="D8DC2D28"/>
    <w:lvl w:ilvl="0" w:tplc="3D5EB0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F0163"/>
    <w:multiLevelType w:val="hybridMultilevel"/>
    <w:tmpl w:val="E0BE62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46537957">
    <w:abstractNumId w:val="6"/>
  </w:num>
  <w:num w:numId="2" w16cid:durableId="1974213819">
    <w:abstractNumId w:val="0"/>
  </w:num>
  <w:num w:numId="3" w16cid:durableId="392239312">
    <w:abstractNumId w:val="1"/>
  </w:num>
  <w:num w:numId="4" w16cid:durableId="273370269">
    <w:abstractNumId w:val="2"/>
  </w:num>
  <w:num w:numId="5" w16cid:durableId="461193381">
    <w:abstractNumId w:val="4"/>
  </w:num>
  <w:num w:numId="6" w16cid:durableId="993945975">
    <w:abstractNumId w:val="5"/>
  </w:num>
  <w:num w:numId="7" w16cid:durableId="164254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E3"/>
    <w:rsid w:val="000D0A86"/>
    <w:rsid w:val="001A3D98"/>
    <w:rsid w:val="001D7B75"/>
    <w:rsid w:val="00245012"/>
    <w:rsid w:val="00486FE8"/>
    <w:rsid w:val="00743E98"/>
    <w:rsid w:val="0083728A"/>
    <w:rsid w:val="008F6CE8"/>
    <w:rsid w:val="00A1470B"/>
    <w:rsid w:val="00B30DF0"/>
    <w:rsid w:val="00B56D6E"/>
    <w:rsid w:val="00D947E3"/>
    <w:rsid w:val="00FB1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3A77"/>
  <w15:chartTrackingRefBased/>
  <w15:docId w15:val="{84B49EF4-3BC3-4B75-BD13-567D13B2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4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4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47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47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47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47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47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47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47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47E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47E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47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47E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47E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47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47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47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47E3"/>
    <w:rPr>
      <w:rFonts w:eastAsiaTheme="majorEastAsia" w:cstheme="majorBidi"/>
      <w:color w:val="272727" w:themeColor="text1" w:themeTint="D8"/>
    </w:rPr>
  </w:style>
  <w:style w:type="paragraph" w:styleId="Titre">
    <w:name w:val="Title"/>
    <w:basedOn w:val="Normal"/>
    <w:next w:val="Normal"/>
    <w:link w:val="TitreCar"/>
    <w:uiPriority w:val="10"/>
    <w:qFormat/>
    <w:rsid w:val="00D94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47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47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47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47E3"/>
    <w:pPr>
      <w:spacing w:before="160"/>
      <w:jc w:val="center"/>
    </w:pPr>
    <w:rPr>
      <w:i/>
      <w:iCs/>
      <w:color w:val="404040" w:themeColor="text1" w:themeTint="BF"/>
    </w:rPr>
  </w:style>
  <w:style w:type="character" w:customStyle="1" w:styleId="CitationCar">
    <w:name w:val="Citation Car"/>
    <w:basedOn w:val="Policepardfaut"/>
    <w:link w:val="Citation"/>
    <w:uiPriority w:val="29"/>
    <w:rsid w:val="00D947E3"/>
    <w:rPr>
      <w:i/>
      <w:iCs/>
      <w:color w:val="404040" w:themeColor="text1" w:themeTint="BF"/>
    </w:rPr>
  </w:style>
  <w:style w:type="paragraph" w:styleId="Paragraphedeliste">
    <w:name w:val="List Paragraph"/>
    <w:basedOn w:val="Normal"/>
    <w:uiPriority w:val="34"/>
    <w:qFormat/>
    <w:rsid w:val="00D947E3"/>
    <w:pPr>
      <w:ind w:left="720"/>
      <w:contextualSpacing/>
    </w:pPr>
  </w:style>
  <w:style w:type="character" w:styleId="Accentuationintense">
    <w:name w:val="Intense Emphasis"/>
    <w:basedOn w:val="Policepardfaut"/>
    <w:uiPriority w:val="21"/>
    <w:qFormat/>
    <w:rsid w:val="00D947E3"/>
    <w:rPr>
      <w:i/>
      <w:iCs/>
      <w:color w:val="2F5496" w:themeColor="accent1" w:themeShade="BF"/>
    </w:rPr>
  </w:style>
  <w:style w:type="paragraph" w:styleId="Citationintense">
    <w:name w:val="Intense Quote"/>
    <w:basedOn w:val="Normal"/>
    <w:next w:val="Normal"/>
    <w:link w:val="CitationintenseCar"/>
    <w:uiPriority w:val="30"/>
    <w:qFormat/>
    <w:rsid w:val="00D9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47E3"/>
    <w:rPr>
      <w:i/>
      <w:iCs/>
      <w:color w:val="2F5496" w:themeColor="accent1" w:themeShade="BF"/>
    </w:rPr>
  </w:style>
  <w:style w:type="character" w:styleId="Rfrenceintense">
    <w:name w:val="Intense Reference"/>
    <w:basedOn w:val="Policepardfaut"/>
    <w:uiPriority w:val="32"/>
    <w:qFormat/>
    <w:rsid w:val="00D947E3"/>
    <w:rPr>
      <w:b/>
      <w:bCs/>
      <w:smallCaps/>
      <w:color w:val="2F5496" w:themeColor="accent1" w:themeShade="BF"/>
      <w:spacing w:val="5"/>
    </w:rPr>
  </w:style>
  <w:style w:type="paragraph" w:styleId="Commentaire">
    <w:name w:val="annotation text"/>
    <w:basedOn w:val="Normal"/>
    <w:link w:val="CommentaireCar"/>
    <w:uiPriority w:val="99"/>
    <w:semiHidden/>
    <w:unhideWhenUsed/>
    <w:rsid w:val="00FB1638"/>
    <w:pPr>
      <w:spacing w:line="240" w:lineRule="auto"/>
    </w:pPr>
    <w:rPr>
      <w:sz w:val="20"/>
      <w:szCs w:val="20"/>
    </w:rPr>
  </w:style>
  <w:style w:type="character" w:customStyle="1" w:styleId="CommentaireCar">
    <w:name w:val="Commentaire Car"/>
    <w:basedOn w:val="Policepardfaut"/>
    <w:link w:val="Commentaire"/>
    <w:uiPriority w:val="99"/>
    <w:semiHidden/>
    <w:rsid w:val="00FB1638"/>
    <w:rPr>
      <w:sz w:val="20"/>
      <w:szCs w:val="20"/>
    </w:rPr>
  </w:style>
  <w:style w:type="character" w:styleId="Marquedecommentaire">
    <w:name w:val="annotation reference"/>
    <w:basedOn w:val="Policepardfaut"/>
    <w:uiPriority w:val="99"/>
    <w:semiHidden/>
    <w:unhideWhenUsed/>
    <w:rsid w:val="00FB16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délibération
fixant les modalités de fonctionnement du compte épargne-temps.&lt;br&gt;&lt;/p&gt;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2024-10-10T22:00:00+00:00</Date_x0020_du_x0020_document>
    <Commentaire xmlns="90166908-29b9-4d30-a0c8-5458b25b723f" xsi:nil="true"/>
    <Date_x0020_de_x0020_mise_x0020__x00e0__x0020_jour xmlns="bec7f01a-a217-4fb8-b33e-d05d8d7e9e59">2024-10-10T22:00:00+00:00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Congés et absence</TermName>
          <TermId xmlns="http://schemas.microsoft.com/office/infopath/2007/PartnerControls">dc051ce5-dd87-4146-94f9-61d3d42da266</TermId>
        </TermInfo>
      </Terms>
    </hfd68a586720489190486f7b93326e47>
    <yes_Archive xmlns="90166908-29b9-4d30-a0c8-5458b25b723f">false</yes_Archive>
    <TaxCatchAll xmlns="90166908-29b9-4d30-a0c8-5458b25b723f">
      <Value>1868</Value>
      <Value>1844</Value>
      <Value>1842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CC080-5585-446B-881E-8A0269F35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C79C6-3124-4D8F-9A79-9541DE154AD0}">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AC4A648E-D465-4ED0-BFBF-7E1928B37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7310</Characters>
  <Application>Microsoft Office Word</Application>
  <DocSecurity>0</DocSecurity>
  <Lines>60</Lines>
  <Paragraphs>17</Paragraphs>
  <ScaleCrop>false</ScaleCrop>
  <Company>CDG33</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fixant les modalités de fonctionnement du compte épargne-temps</dc:title>
  <dc:subject/>
  <dc:creator>SENANT Claire</dc:creator>
  <cp:keywords/>
  <dc:description/>
  <cp:lastModifiedBy>Juriste CDG86</cp:lastModifiedBy>
  <cp:revision>2</cp:revision>
  <dcterms:created xsi:type="dcterms:W3CDTF">2024-10-18T11:19:00Z</dcterms:created>
  <dcterms:modified xsi:type="dcterms:W3CDTF">2024-10-18T11:19:00Z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1868;#Congés et absence|dc051ce5-dd87-4146-94f9-61d3d42da266</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